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D6" w:rsidRDefault="00E418D6" w:rsidP="00EA7F66">
      <w:pPr>
        <w:pStyle w:val="Header"/>
        <w:jc w:val="center"/>
        <w:rPr>
          <w:b/>
        </w:rPr>
      </w:pPr>
      <w:bookmarkStart w:id="0" w:name="_GoBack"/>
      <w:bookmarkEnd w:id="0"/>
      <w:r>
        <w:rPr>
          <w:b/>
        </w:rPr>
        <w:t xml:space="preserve">2011- 2012 Güz Dönemi </w:t>
      </w:r>
    </w:p>
    <w:p w:rsidR="00EA7F66" w:rsidRDefault="00EA7F66" w:rsidP="00EA7F66">
      <w:pPr>
        <w:pStyle w:val="Header"/>
        <w:jc w:val="center"/>
        <w:rPr>
          <w:b/>
        </w:rPr>
      </w:pPr>
      <w:r w:rsidRPr="000E2045">
        <w:rPr>
          <w:b/>
        </w:rPr>
        <w:t xml:space="preserve">GPC 100 KAMPUSTA İLK YIL SEMİNERİ İNGİLİZCE HAZIRLIK PROGRAMI </w:t>
      </w:r>
      <w:r w:rsidRPr="00C63A7D">
        <w:rPr>
          <w:b/>
        </w:rPr>
        <w:t>ETKİNLİKLERİ</w:t>
      </w:r>
      <w:r w:rsidR="00E418D6">
        <w:rPr>
          <w:b/>
        </w:rPr>
        <w:t xml:space="preserve"> ve ÖNERİLEN DEĞİŞİKLİKLER</w:t>
      </w:r>
    </w:p>
    <w:p w:rsidR="00892F9E" w:rsidRPr="000E2045" w:rsidRDefault="00892F9E" w:rsidP="00EA7F66">
      <w:pPr>
        <w:pStyle w:val="Heade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770"/>
        <w:gridCol w:w="2498"/>
      </w:tblGrid>
      <w:tr w:rsidR="00DD2DD5" w:rsidRPr="000E2045" w:rsidTr="00D728AA">
        <w:trPr>
          <w:jc w:val="center"/>
        </w:trPr>
        <w:tc>
          <w:tcPr>
            <w:tcW w:w="1098" w:type="dxa"/>
            <w:vAlign w:val="center"/>
          </w:tcPr>
          <w:p w:rsidR="00DD2DD5" w:rsidRPr="004403AC" w:rsidRDefault="00DD2DD5" w:rsidP="00174680">
            <w:pPr>
              <w:tabs>
                <w:tab w:val="left" w:pos="1005"/>
              </w:tabs>
              <w:jc w:val="center"/>
              <w:rPr>
                <w:b/>
              </w:rPr>
            </w:pPr>
            <w:r w:rsidRPr="004403AC">
              <w:rPr>
                <w:b/>
              </w:rPr>
              <w:t>Hafta</w:t>
            </w:r>
          </w:p>
        </w:tc>
        <w:tc>
          <w:tcPr>
            <w:tcW w:w="4770" w:type="dxa"/>
            <w:vAlign w:val="center"/>
          </w:tcPr>
          <w:p w:rsidR="00DD2DD5" w:rsidRPr="004403AC" w:rsidRDefault="00DD2DD5" w:rsidP="00174680">
            <w:pPr>
              <w:jc w:val="center"/>
              <w:rPr>
                <w:b/>
              </w:rPr>
            </w:pPr>
            <w:r w:rsidRPr="004403AC">
              <w:rPr>
                <w:b/>
              </w:rPr>
              <w:t>Başlık</w:t>
            </w:r>
          </w:p>
        </w:tc>
        <w:tc>
          <w:tcPr>
            <w:tcW w:w="2498" w:type="dxa"/>
            <w:vAlign w:val="center"/>
          </w:tcPr>
          <w:p w:rsidR="00DD2DD5" w:rsidRPr="004403AC" w:rsidRDefault="00E5652B" w:rsidP="00174680">
            <w:pPr>
              <w:jc w:val="center"/>
              <w:rPr>
                <w:b/>
              </w:rPr>
            </w:pPr>
            <w:r>
              <w:rPr>
                <w:b/>
              </w:rPr>
              <w:t>Yeni öneri/</w:t>
            </w:r>
            <w:r w:rsidR="00DD2DD5">
              <w:rPr>
                <w:b/>
              </w:rPr>
              <w:t>Değişiklik</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1</w:t>
            </w:r>
          </w:p>
        </w:tc>
        <w:tc>
          <w:tcPr>
            <w:tcW w:w="4770" w:type="dxa"/>
            <w:vAlign w:val="center"/>
          </w:tcPr>
          <w:p w:rsidR="00DD2DD5" w:rsidRPr="004403AC" w:rsidRDefault="00DD2DD5" w:rsidP="00174680">
            <w:pPr>
              <w:ind w:left="360"/>
              <w:contextualSpacing/>
              <w:rPr>
                <w:b/>
                <w:sz w:val="20"/>
              </w:rPr>
            </w:pPr>
            <w:r w:rsidRPr="004403AC">
              <w:rPr>
                <w:b/>
                <w:sz w:val="20"/>
              </w:rPr>
              <w:t>TANIŞMA ve GPC 100’E GİRİŞ</w:t>
            </w:r>
          </w:p>
          <w:p w:rsidR="00DD2DD5" w:rsidRPr="004403AC" w:rsidRDefault="00DD2DD5" w:rsidP="00174680">
            <w:pPr>
              <w:ind w:left="360"/>
              <w:contextualSpacing/>
              <w:rPr>
                <w:sz w:val="20"/>
              </w:rPr>
            </w:pPr>
            <w:r w:rsidRPr="004403AC">
              <w:rPr>
                <w:sz w:val="20"/>
              </w:rPr>
              <w:t xml:space="preserve">Öğrenciler sınıf ortamında akran rehberleri ile tanıştıktan sonra dersin sorumlusu öğretim elemanı tarafından dersi alan tüm öğrencilere yönelik dersle ilgili genel bilgilendirme yapılacaktır. </w:t>
            </w:r>
          </w:p>
          <w:p w:rsidR="00DD2DD5" w:rsidRPr="004403AC" w:rsidRDefault="00DD2DD5" w:rsidP="00174680">
            <w:pPr>
              <w:pStyle w:val="ListParagraph"/>
              <w:ind w:left="720"/>
              <w:contextualSpacing/>
              <w:rPr>
                <w:rFonts w:ascii="Times New Roman" w:hAnsi="Times New Roman"/>
                <w:sz w:val="20"/>
                <w:lang w:val="tr-TR"/>
              </w:rPr>
            </w:pPr>
          </w:p>
          <w:p w:rsidR="00DD2DD5" w:rsidRPr="004403AC" w:rsidRDefault="00DD2DD5" w:rsidP="00174680">
            <w:pPr>
              <w:ind w:left="360"/>
              <w:contextualSpacing/>
              <w:rPr>
                <w:b/>
                <w:sz w:val="20"/>
              </w:rPr>
            </w:pPr>
            <w:r w:rsidRPr="004403AC">
              <w:rPr>
                <w:b/>
                <w:sz w:val="20"/>
              </w:rPr>
              <w:t xml:space="preserve">“YAŞAM BİÇİMİMİZ ve İYİLİK HALİ” </w:t>
            </w:r>
          </w:p>
          <w:p w:rsidR="00DD2DD5" w:rsidRPr="004403AC" w:rsidRDefault="00DD2DD5" w:rsidP="00174680">
            <w:pPr>
              <w:ind w:left="360"/>
              <w:contextualSpacing/>
              <w:rPr>
                <w:sz w:val="20"/>
              </w:rPr>
            </w:pPr>
            <w:r w:rsidRPr="004403AC">
              <w:rPr>
                <w:sz w:val="20"/>
              </w:rPr>
              <w:t xml:space="preserve">Öğrenciler, misafir konuşmacı tarafından yapılacak olan söyleşiye katılacaklardır. </w:t>
            </w:r>
          </w:p>
          <w:p w:rsidR="00DD2DD5" w:rsidRPr="004403AC" w:rsidRDefault="00DD2DD5" w:rsidP="00174680">
            <w:pPr>
              <w:pStyle w:val="ListParagraph"/>
              <w:rPr>
                <w:rFonts w:ascii="Times New Roman" w:hAnsi="Times New Roman"/>
                <w:sz w:val="20"/>
                <w:lang w:val="tr-TR"/>
              </w:rPr>
            </w:pPr>
          </w:p>
        </w:tc>
        <w:tc>
          <w:tcPr>
            <w:tcW w:w="2498" w:type="dxa"/>
            <w:vAlign w:val="center"/>
          </w:tcPr>
          <w:p w:rsidR="00DD2DD5" w:rsidRPr="003121DB" w:rsidRDefault="00A7327F" w:rsidP="00A7327F">
            <w:pPr>
              <w:ind w:left="162"/>
              <w:contextualSpacing/>
              <w:jc w:val="center"/>
              <w:rPr>
                <w:sz w:val="20"/>
              </w:rPr>
            </w:pPr>
            <w:r w:rsidRPr="003121DB">
              <w:rPr>
                <w:sz w:val="20"/>
              </w:rPr>
              <w:t>Etkinliğin ikinci kısmı kısaltılarak, büyük grup yerine 4-5 orta büyüklükte grupta yapılması planlandı.</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2</w:t>
            </w:r>
          </w:p>
        </w:tc>
        <w:tc>
          <w:tcPr>
            <w:tcW w:w="4770" w:type="dxa"/>
            <w:vAlign w:val="center"/>
          </w:tcPr>
          <w:p w:rsidR="00DD2DD5" w:rsidRPr="004403AC" w:rsidRDefault="00DD2DD5" w:rsidP="00174680">
            <w:pPr>
              <w:ind w:left="360"/>
              <w:rPr>
                <w:b/>
                <w:sz w:val="20"/>
              </w:rPr>
            </w:pPr>
            <w:r w:rsidRPr="004403AC">
              <w:rPr>
                <w:b/>
                <w:sz w:val="20"/>
              </w:rPr>
              <w:t>“KATIL, EĞLEN VE ÖĞREN!”</w:t>
            </w:r>
          </w:p>
          <w:p w:rsidR="00DD2DD5" w:rsidRPr="004403AC" w:rsidRDefault="00DD2DD5" w:rsidP="00174680">
            <w:pPr>
              <w:ind w:left="360"/>
              <w:rPr>
                <w:bCs/>
                <w:sz w:val="20"/>
              </w:rPr>
            </w:pPr>
            <w:r w:rsidRPr="004403AC">
              <w:rPr>
                <w:bCs/>
                <w:sz w:val="20"/>
              </w:rPr>
              <w:t>Sosyal &amp; Kültürel İşler Müdürü ve Spor &amp; Rekreasyon Müdürü, Kültür ve Kongre Merkezi’nde sosyal ve kültürel faaliyetler ile spor ve rekreasyon tesislerinin kullanımı hakkında kısa bir bilgilendirme toplantısı yapacaktır.</w:t>
            </w:r>
          </w:p>
          <w:p w:rsidR="00DD2DD5" w:rsidRPr="004403AC" w:rsidRDefault="00DD2DD5" w:rsidP="00174680">
            <w:pPr>
              <w:ind w:left="360"/>
              <w:rPr>
                <w:bCs/>
                <w:sz w:val="20"/>
              </w:rPr>
            </w:pPr>
            <w:r w:rsidRPr="004403AC">
              <w:rPr>
                <w:bCs/>
                <w:sz w:val="20"/>
              </w:rPr>
              <w:t>Kültür ve Kongre Merkezi’nde öğrenciler topluluklarda görev alan arkadaşları ile tanışarak, topluluk üyelik sistemi ve faaliyetleri hakkında bilgi alabileceklerdir.</w:t>
            </w:r>
          </w:p>
          <w:p w:rsidR="00DD2DD5" w:rsidRPr="004403AC" w:rsidRDefault="00DD2DD5" w:rsidP="00174680">
            <w:pPr>
              <w:pStyle w:val="ListParagraph"/>
              <w:rPr>
                <w:rFonts w:ascii="Times New Roman" w:hAnsi="Times New Roman"/>
                <w:sz w:val="20"/>
                <w:lang w:val="tr-TR"/>
              </w:rPr>
            </w:pPr>
          </w:p>
        </w:tc>
        <w:tc>
          <w:tcPr>
            <w:tcW w:w="2498" w:type="dxa"/>
            <w:vAlign w:val="center"/>
          </w:tcPr>
          <w:p w:rsidR="00DD2DD5" w:rsidRPr="003121DB" w:rsidRDefault="003121DB" w:rsidP="00174680">
            <w:pPr>
              <w:ind w:left="162"/>
              <w:jc w:val="center"/>
              <w:rPr>
                <w:sz w:val="20"/>
              </w:rPr>
            </w:pPr>
            <w:r w:rsidRPr="003121DB">
              <w:rPr>
                <w:sz w:val="20"/>
              </w:rPr>
              <w:t>Etkinlikte toplulukların amfilerde toplanması yerine KKM’de fuayede topluluk masalarının kurulması planlandı.</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3</w:t>
            </w:r>
          </w:p>
        </w:tc>
        <w:tc>
          <w:tcPr>
            <w:tcW w:w="4770" w:type="dxa"/>
            <w:vAlign w:val="center"/>
          </w:tcPr>
          <w:p w:rsidR="00DD2DD5" w:rsidRPr="004403AC" w:rsidRDefault="00DD2DD5" w:rsidP="00174680">
            <w:pPr>
              <w:ind w:left="360"/>
              <w:rPr>
                <w:b/>
                <w:sz w:val="20"/>
              </w:rPr>
            </w:pPr>
            <w:r w:rsidRPr="004403AC">
              <w:rPr>
                <w:b/>
                <w:sz w:val="20"/>
              </w:rPr>
              <w:t>“BİLGİYLE BULUŞMA YERİNİZ” I</w:t>
            </w:r>
          </w:p>
          <w:p w:rsidR="00DD2DD5" w:rsidRPr="004403AC" w:rsidRDefault="00DD2DD5" w:rsidP="00174680">
            <w:pPr>
              <w:ind w:left="360"/>
              <w:rPr>
                <w:bCs/>
                <w:sz w:val="20"/>
              </w:rPr>
            </w:pPr>
            <w:r w:rsidRPr="004403AC">
              <w:rPr>
                <w:bCs/>
                <w:sz w:val="20"/>
              </w:rPr>
              <w:t>Bu etkinlikle Kütüphane ve Bilişim Teknolojileri Müdürlüğü’nü öğrencilere tanıtmak amaçlanmaktadır. Öğrenciler, bu birimler tarafından sunulan hizmetlerden nasıl faydalanacakları ve bilgi kaynaklarına erişim hakkında bilgi edinip ve buna yönelik uygulamalar (örn., online katalog taraması, online form doldurulması, kütüphaneden kitap ödünç alınması ve intranetin tanıtımı) yapacaklardır.</w:t>
            </w:r>
          </w:p>
          <w:p w:rsidR="00DD2DD5" w:rsidRPr="004403AC" w:rsidRDefault="00DD2DD5" w:rsidP="00174680">
            <w:pPr>
              <w:ind w:left="360"/>
              <w:rPr>
                <w:sz w:val="20"/>
              </w:rPr>
            </w:pPr>
            <w:r w:rsidRPr="004403AC">
              <w:rPr>
                <w:bCs/>
                <w:sz w:val="20"/>
              </w:rPr>
              <w:t xml:space="preserve"> </w:t>
            </w:r>
          </w:p>
        </w:tc>
        <w:tc>
          <w:tcPr>
            <w:tcW w:w="2498" w:type="dxa"/>
            <w:vAlign w:val="center"/>
          </w:tcPr>
          <w:p w:rsidR="00DD2DD5" w:rsidRPr="003121DB" w:rsidRDefault="003121DB" w:rsidP="003121DB">
            <w:pPr>
              <w:ind w:left="162"/>
              <w:jc w:val="center"/>
              <w:rPr>
                <w:sz w:val="20"/>
              </w:rPr>
            </w:pPr>
            <w:r w:rsidRPr="003121DB">
              <w:rPr>
                <w:sz w:val="20"/>
              </w:rPr>
              <w:t xml:space="preserve">Bu etkinliğin yerine “aileden uzakta yaşam” konulu etkinlik düzenlenmesi planlandı.* </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4</w:t>
            </w:r>
          </w:p>
        </w:tc>
        <w:tc>
          <w:tcPr>
            <w:tcW w:w="4770" w:type="dxa"/>
            <w:vAlign w:val="center"/>
          </w:tcPr>
          <w:p w:rsidR="00DD2DD5" w:rsidRPr="004403AC" w:rsidRDefault="00DD2DD5" w:rsidP="00174680">
            <w:pPr>
              <w:ind w:left="360"/>
              <w:contextualSpacing/>
              <w:rPr>
                <w:b/>
                <w:sz w:val="20"/>
              </w:rPr>
            </w:pPr>
            <w:r w:rsidRPr="004403AC">
              <w:rPr>
                <w:b/>
                <w:sz w:val="20"/>
              </w:rPr>
              <w:t xml:space="preserve">“ÜNİVERSİTE NEDİR?” </w:t>
            </w:r>
          </w:p>
          <w:p w:rsidR="00DD2DD5" w:rsidRPr="004403AC" w:rsidRDefault="00DD2DD5" w:rsidP="00174680">
            <w:pPr>
              <w:ind w:left="360"/>
              <w:contextualSpacing/>
              <w:rPr>
                <w:sz w:val="20"/>
              </w:rPr>
            </w:pPr>
            <w:r w:rsidRPr="004403AC">
              <w:rPr>
                <w:sz w:val="20"/>
              </w:rPr>
              <w:t xml:space="preserve">Öğrenciler, konuyla ilgili kısa bir söyleşinin ardından akran rehberleri eşliğinde küçük gruplar halinde “üniversite nedir?” konusu üzerine bir tartışma yürüteceklerdir. Bu tartışma kapsamında öğrenciler kendi fikirlerini paylaşacaklar ve kendi düşünceleriyle öğretim elemanlarının aynı tartışma başlıkları altındaki görüşlerini karşılaştırma fırsatını yakalayacaklardır.      </w:t>
            </w:r>
          </w:p>
          <w:p w:rsidR="00DD2DD5" w:rsidRPr="004403AC" w:rsidRDefault="00DD2DD5" w:rsidP="00174680">
            <w:pPr>
              <w:pStyle w:val="ListParagraph"/>
              <w:rPr>
                <w:rFonts w:ascii="Times New Roman" w:hAnsi="Times New Roman"/>
                <w:sz w:val="20"/>
                <w:lang w:val="tr-TR"/>
              </w:rPr>
            </w:pPr>
          </w:p>
        </w:tc>
        <w:tc>
          <w:tcPr>
            <w:tcW w:w="2498" w:type="dxa"/>
            <w:vAlign w:val="center"/>
          </w:tcPr>
          <w:p w:rsidR="00DD2DD5" w:rsidRPr="003121DB" w:rsidRDefault="00A7327F" w:rsidP="003121DB">
            <w:pPr>
              <w:ind w:left="162"/>
              <w:contextualSpacing/>
              <w:jc w:val="center"/>
              <w:rPr>
                <w:sz w:val="20"/>
              </w:rPr>
            </w:pPr>
            <w:r w:rsidRPr="003121DB">
              <w:rPr>
                <w:sz w:val="20"/>
              </w:rPr>
              <w:t>Bu etkinliğin yerine</w:t>
            </w:r>
            <w:r w:rsidR="003121DB" w:rsidRPr="003121DB">
              <w:rPr>
                <w:sz w:val="20"/>
              </w:rPr>
              <w:t xml:space="preserve"> “Hazırlık / Lisans Programı Deneyimleri” etkinliğinin düzenlenmesi planlandı.</w:t>
            </w:r>
            <w:r w:rsidR="003121DB" w:rsidRPr="003121DB">
              <w:rPr>
                <w:b/>
                <w:sz w:val="20"/>
              </w:rPr>
              <w:t xml:space="preserve">* </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5-6</w:t>
            </w:r>
          </w:p>
        </w:tc>
        <w:tc>
          <w:tcPr>
            <w:tcW w:w="4770" w:type="dxa"/>
            <w:vAlign w:val="center"/>
          </w:tcPr>
          <w:p w:rsidR="00DD2DD5" w:rsidRPr="004403AC" w:rsidRDefault="00DD2DD5" w:rsidP="00174680">
            <w:pPr>
              <w:ind w:left="360"/>
              <w:rPr>
                <w:rStyle w:val="apple-style-span"/>
                <w:rFonts w:eastAsia="Arial Unicode MS"/>
                <w:b/>
                <w:color w:val="000000"/>
                <w:kern w:val="1"/>
                <w:sz w:val="20"/>
                <w:shd w:val="clear" w:color="auto" w:fill="FFFFFF"/>
                <w:lang w:eastAsia="hi-IN" w:bidi="hi-IN"/>
              </w:rPr>
            </w:pPr>
            <w:r w:rsidRPr="004403AC">
              <w:rPr>
                <w:rStyle w:val="apple-style-span"/>
                <w:b/>
                <w:color w:val="000000"/>
                <w:sz w:val="20"/>
                <w:shd w:val="clear" w:color="auto" w:fill="FFFFFF"/>
              </w:rPr>
              <w:t>“FARKLILIK, EŞİTLİK VE AYRIMCILIKLA MÜCADELE” I-II</w:t>
            </w:r>
          </w:p>
          <w:p w:rsidR="00DD2DD5" w:rsidRPr="004403AC" w:rsidRDefault="00DD2DD5" w:rsidP="00174680">
            <w:pPr>
              <w:ind w:left="360"/>
              <w:rPr>
                <w:rStyle w:val="apple-style-span"/>
                <w:sz w:val="20"/>
              </w:rPr>
            </w:pPr>
            <w:r w:rsidRPr="004403AC">
              <w:rPr>
                <w:rStyle w:val="apple-style-span"/>
                <w:color w:val="000000"/>
                <w:sz w:val="20"/>
                <w:shd w:val="clear" w:color="auto" w:fill="FFFFFF"/>
              </w:rPr>
              <w:t xml:space="preserve">Genel olarak toplumlar için söz konusu olduğu gibi üniversiteler de değişik kimliklerden, yaşam biçimlerinden ve yaklaşımlardan insanlar barındırır. Bu farklılıkların kampus hayatının çeşitli alanlarında eşit bir biçimde bir arada yaşaması demokratik ve üretken bir kampus hayatının temellerinin oluşturulması bakımından elzemdir. Farklılığın ve eşitliğin bir aradalığının önündeki en büyük engel kendisini açık ya da gizil biçimlerde ve farklı zeminlerde gösteren ayrımcılık pratikleri veya söylemleridir. Genelde düşünce ve eylem özgürlüğünün alanları olarak idealleştirilen üniversite kampusları da toplumsal ilişkileri barındıran mekânlar olarak bu pratik ve söylemlerden tamamen muaf değildirler. Bu </w:t>
            </w:r>
            <w:r w:rsidRPr="004403AC">
              <w:rPr>
                <w:rStyle w:val="apple-style-span"/>
                <w:color w:val="000000"/>
                <w:sz w:val="20"/>
                <w:shd w:val="clear" w:color="auto" w:fill="FFFFFF"/>
              </w:rPr>
              <w:lastRenderedPageBreak/>
              <w:t xml:space="preserve">seminer, üniversitedeki toplumsal ortamlarda ve hayatın diğer alanlarında karşılaşılabilecek dışlama ve ayrımcılık pratiklerine karşı bir duyarlılık oluşturmaya ve bunlarla nasıl mücadele edilebileceğinin yollarını tartışmaya çalışacak. Temel olarak etkileşimli konferanslardan ve tartışmalardan oluşacak seminerlere konuyla alakalı filmleri de içeren görsel malzeme eşlik edecektir. </w:t>
            </w:r>
          </w:p>
          <w:p w:rsidR="00DD2DD5" w:rsidRPr="004403AC" w:rsidRDefault="00DD2DD5" w:rsidP="00174680">
            <w:pPr>
              <w:pStyle w:val="ListParagraph"/>
              <w:rPr>
                <w:rFonts w:ascii="Times New Roman" w:hAnsi="Times New Roman"/>
                <w:sz w:val="20"/>
                <w:lang w:val="tr-TR"/>
              </w:rPr>
            </w:pPr>
          </w:p>
        </w:tc>
        <w:tc>
          <w:tcPr>
            <w:tcW w:w="2498" w:type="dxa"/>
            <w:vAlign w:val="center"/>
          </w:tcPr>
          <w:p w:rsidR="00DD2DD5" w:rsidRPr="004403AC" w:rsidRDefault="003121DB" w:rsidP="003121DB">
            <w:pPr>
              <w:ind w:left="162"/>
              <w:jc w:val="center"/>
              <w:rPr>
                <w:rStyle w:val="apple-style-span"/>
                <w:b/>
                <w:color w:val="000000"/>
                <w:sz w:val="20"/>
                <w:shd w:val="clear" w:color="auto" w:fill="FFFFFF"/>
              </w:rPr>
            </w:pPr>
            <w:r w:rsidRPr="003121DB">
              <w:rPr>
                <w:rStyle w:val="apple-style-span"/>
                <w:color w:val="000000"/>
                <w:sz w:val="20"/>
                <w:shd w:val="clear" w:color="auto" w:fill="FFFFFF"/>
              </w:rPr>
              <w:lastRenderedPageBreak/>
              <w:t xml:space="preserve">Bu etkinliğin tek haftaya indirilmesi </w:t>
            </w:r>
            <w:r w:rsidR="00973D1E">
              <w:rPr>
                <w:rStyle w:val="apple-style-span"/>
                <w:color w:val="000000"/>
                <w:sz w:val="20"/>
                <w:shd w:val="clear" w:color="auto" w:fill="FFFFFF"/>
              </w:rPr>
              <w:t xml:space="preserve">ve haftasının değiştirilmesi </w:t>
            </w:r>
            <w:r w:rsidRPr="003121DB">
              <w:rPr>
                <w:rStyle w:val="apple-style-span"/>
                <w:color w:val="000000"/>
                <w:sz w:val="20"/>
                <w:shd w:val="clear" w:color="auto" w:fill="FFFFFF"/>
              </w:rPr>
              <w:t>planlandı.</w:t>
            </w:r>
            <w:r w:rsidRPr="001705EB">
              <w:rPr>
                <w:rStyle w:val="apple-style-span"/>
                <w:b/>
                <w:color w:val="000000"/>
                <w:sz w:val="20"/>
                <w:shd w:val="clear" w:color="auto" w:fill="FFFFFF"/>
              </w:rPr>
              <w:t>*</w:t>
            </w:r>
            <w:r w:rsidRPr="003121DB">
              <w:rPr>
                <w:rStyle w:val="apple-style-span"/>
                <w:color w:val="000000"/>
                <w:sz w:val="20"/>
                <w:shd w:val="clear" w:color="auto" w:fill="FFFFFF"/>
              </w:rPr>
              <w:t xml:space="preserve"> </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lastRenderedPageBreak/>
              <w:t>7-8-9-10</w:t>
            </w:r>
          </w:p>
        </w:tc>
        <w:tc>
          <w:tcPr>
            <w:tcW w:w="4770" w:type="dxa"/>
            <w:vAlign w:val="center"/>
          </w:tcPr>
          <w:p w:rsidR="00DD2DD5" w:rsidRPr="004403AC" w:rsidRDefault="00DD2DD5" w:rsidP="00174680">
            <w:pPr>
              <w:ind w:left="360"/>
              <w:contextualSpacing/>
              <w:rPr>
                <w:b/>
                <w:sz w:val="20"/>
              </w:rPr>
            </w:pPr>
            <w:r w:rsidRPr="004403AC">
              <w:rPr>
                <w:b/>
                <w:sz w:val="20"/>
              </w:rPr>
              <w:t>“AKADEMİK BAŞARI İÇİN STRATEJİLER”</w:t>
            </w:r>
          </w:p>
          <w:p w:rsidR="00DD2DD5" w:rsidRPr="004403AC" w:rsidRDefault="00DD2DD5" w:rsidP="00825040">
            <w:pPr>
              <w:ind w:left="360"/>
              <w:contextualSpacing/>
              <w:rPr>
                <w:sz w:val="20"/>
              </w:rPr>
            </w:pPr>
            <w:r w:rsidRPr="004403AC">
              <w:rPr>
                <w:sz w:val="20"/>
              </w:rPr>
              <w:t xml:space="preserve">Öğrenciler, 4 hafta boyunca akran rehberleri eşliğinde küçük gruplarında </w:t>
            </w:r>
            <w:r>
              <w:rPr>
                <w:sz w:val="20"/>
              </w:rPr>
              <w:t xml:space="preserve">(a) </w:t>
            </w:r>
            <w:r w:rsidRPr="004403AC">
              <w:rPr>
                <w:sz w:val="20"/>
              </w:rPr>
              <w:t>hedef belirleme</w:t>
            </w:r>
            <w:r>
              <w:rPr>
                <w:sz w:val="20"/>
              </w:rPr>
              <w:t xml:space="preserve">,  (b) </w:t>
            </w:r>
            <w:r w:rsidRPr="004403AC">
              <w:rPr>
                <w:sz w:val="20"/>
              </w:rPr>
              <w:t xml:space="preserve">motivasyon, </w:t>
            </w:r>
            <w:r>
              <w:rPr>
                <w:sz w:val="20"/>
              </w:rPr>
              <w:t>(c) kaynak</w:t>
            </w:r>
            <w:r w:rsidRPr="004403AC">
              <w:rPr>
                <w:sz w:val="20"/>
              </w:rPr>
              <w:t xml:space="preserve"> yönetimi</w:t>
            </w:r>
            <w:r>
              <w:rPr>
                <w:sz w:val="20"/>
              </w:rPr>
              <w:t xml:space="preserve"> (zaman, çalışma ortamı ve üniversitedeki yardım kaynakları)</w:t>
            </w:r>
            <w:r w:rsidRPr="004403AC">
              <w:rPr>
                <w:sz w:val="20"/>
              </w:rPr>
              <w:t xml:space="preserve"> ve </w:t>
            </w:r>
            <w:r>
              <w:rPr>
                <w:sz w:val="20"/>
              </w:rPr>
              <w:t xml:space="preserve">(d) </w:t>
            </w:r>
            <w:r w:rsidRPr="004403AC">
              <w:rPr>
                <w:sz w:val="20"/>
              </w:rPr>
              <w:t xml:space="preserve">öğrenme stratejileri konularına yönelik etkinlikler yürüteceklerdir. </w:t>
            </w:r>
          </w:p>
        </w:tc>
        <w:tc>
          <w:tcPr>
            <w:tcW w:w="2498" w:type="dxa"/>
            <w:vAlign w:val="center"/>
          </w:tcPr>
          <w:p w:rsidR="00DD2DD5" w:rsidRPr="004403AC" w:rsidRDefault="00A7327F" w:rsidP="00174680">
            <w:pPr>
              <w:ind w:left="162"/>
              <w:contextualSpacing/>
              <w:jc w:val="center"/>
              <w:rPr>
                <w:sz w:val="20"/>
              </w:rPr>
            </w:pPr>
            <w:r>
              <w:rPr>
                <w:sz w:val="20"/>
              </w:rPr>
              <w:t>Değişiklik yapılmadı.</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11</w:t>
            </w:r>
          </w:p>
        </w:tc>
        <w:tc>
          <w:tcPr>
            <w:tcW w:w="4770" w:type="dxa"/>
            <w:vAlign w:val="center"/>
          </w:tcPr>
          <w:p w:rsidR="00DD2DD5" w:rsidRPr="004403AC" w:rsidRDefault="00DD2DD5" w:rsidP="00174680">
            <w:pPr>
              <w:ind w:left="360"/>
              <w:contextualSpacing/>
              <w:rPr>
                <w:b/>
                <w:sz w:val="20"/>
              </w:rPr>
            </w:pPr>
            <w:r w:rsidRPr="004403AC">
              <w:rPr>
                <w:b/>
                <w:sz w:val="20"/>
              </w:rPr>
              <w:t>“AKADEMİK PROGRAMLARLA TANIŞMA”</w:t>
            </w:r>
          </w:p>
          <w:p w:rsidR="00DD2DD5" w:rsidRPr="004403AC" w:rsidRDefault="00DD2DD5" w:rsidP="00174680">
            <w:pPr>
              <w:ind w:left="360"/>
              <w:contextualSpacing/>
              <w:rPr>
                <w:b/>
                <w:sz w:val="20"/>
              </w:rPr>
            </w:pPr>
            <w:r w:rsidRPr="004403AC">
              <w:rPr>
                <w:sz w:val="20"/>
              </w:rPr>
              <w:t>Öğrenciler, bu hafta yürütülecek etkinlikte kendi programlarıyla,</w:t>
            </w:r>
            <w:r w:rsidRPr="004403AC">
              <w:rPr>
                <w:b/>
                <w:sz w:val="20"/>
              </w:rPr>
              <w:t xml:space="preserve"> </w:t>
            </w:r>
            <w:r w:rsidRPr="004403AC">
              <w:rPr>
                <w:sz w:val="20"/>
              </w:rPr>
              <w:t>programdaki öğretim elemanlarıyla ve üst sınıf öğrencileriyle tanışacaklardır.</w:t>
            </w:r>
            <w:r w:rsidRPr="004403AC">
              <w:rPr>
                <w:b/>
                <w:sz w:val="20"/>
              </w:rPr>
              <w:t xml:space="preserve"> </w:t>
            </w:r>
            <w:r w:rsidRPr="004403AC">
              <w:rPr>
                <w:sz w:val="20"/>
              </w:rPr>
              <w:t>Bu etkinlik kapsamında ilk olarak, program koordinatörleri, ders programları, seçmeli dersler ve stajla ilgili konularda kısaca bilgi verip ve programdaki öğretim elemanlarını ve üst sınıf öğrencilerini tanıtacaktır. Daha sonra programdaki tüm öğretim elemanları öğrencilerle verdikleri dersler, mesleki ilgi alanları ve ilgili kariyer olanaklarıyla ilgili sohbet edeceklerdir.</w:t>
            </w:r>
            <w:r w:rsidRPr="004403AC">
              <w:rPr>
                <w:b/>
                <w:sz w:val="20"/>
              </w:rPr>
              <w:t xml:space="preserve"> </w:t>
            </w:r>
          </w:p>
        </w:tc>
        <w:tc>
          <w:tcPr>
            <w:tcW w:w="2498" w:type="dxa"/>
            <w:vAlign w:val="center"/>
          </w:tcPr>
          <w:p w:rsidR="00DD2DD5" w:rsidRPr="004403AC" w:rsidRDefault="003121DB" w:rsidP="00973D1E">
            <w:pPr>
              <w:ind w:left="162"/>
              <w:contextualSpacing/>
              <w:jc w:val="center"/>
              <w:rPr>
                <w:b/>
                <w:sz w:val="20"/>
              </w:rPr>
            </w:pPr>
            <w:r>
              <w:rPr>
                <w:sz w:val="20"/>
              </w:rPr>
              <w:t>Değişiklik yapılmadı.</w:t>
            </w:r>
            <w:r w:rsidR="00973D1E">
              <w:rPr>
                <w:sz w:val="20"/>
              </w:rPr>
              <w:t xml:space="preserve"> Etkinliğin haftasının değiştirilmesi planlandı.</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12</w:t>
            </w:r>
          </w:p>
        </w:tc>
        <w:tc>
          <w:tcPr>
            <w:tcW w:w="4770" w:type="dxa"/>
            <w:vAlign w:val="center"/>
          </w:tcPr>
          <w:p w:rsidR="00DD2DD5" w:rsidRPr="004403AC" w:rsidRDefault="00DD2DD5" w:rsidP="00174680">
            <w:pPr>
              <w:ind w:left="360"/>
              <w:rPr>
                <w:b/>
                <w:sz w:val="20"/>
              </w:rPr>
            </w:pPr>
            <w:r w:rsidRPr="004403AC">
              <w:rPr>
                <w:b/>
                <w:sz w:val="20"/>
              </w:rPr>
              <w:t>“RUH SAĞLIĞI”</w:t>
            </w:r>
          </w:p>
          <w:p w:rsidR="00DD2DD5" w:rsidRPr="004403AC" w:rsidRDefault="00DD2DD5" w:rsidP="00174680">
            <w:pPr>
              <w:ind w:left="360"/>
              <w:rPr>
                <w:sz w:val="20"/>
              </w:rPr>
            </w:pPr>
            <w:r w:rsidRPr="004403AC">
              <w:rPr>
                <w:sz w:val="20"/>
              </w:rPr>
              <w:t>Ruh sağlığı üzerine yapılacak seminerler iki adet bir saatlik bilgilendirme oturumlarından oluşacaktır. I. oturumda klinik depresyon, aşırı kaygı (sınav kaygısı dâhil olmak üzere), uyku sorunları, ayrılık ve kayıp ile bağlantılı sorunlar üzerine konuşulacaktır.</w:t>
            </w:r>
          </w:p>
          <w:p w:rsidR="00DD2DD5" w:rsidRPr="004403AC" w:rsidRDefault="00DD2DD5" w:rsidP="00174680">
            <w:pPr>
              <w:ind w:left="360"/>
              <w:rPr>
                <w:b/>
                <w:sz w:val="20"/>
              </w:rPr>
            </w:pPr>
            <w:r w:rsidRPr="004403AC">
              <w:rPr>
                <w:sz w:val="20"/>
              </w:rPr>
              <w:t xml:space="preserve">İkinci oturumda ise nikotin, alkol ve internet bağımlılığı konuları ele alınacaktır. </w:t>
            </w:r>
          </w:p>
          <w:p w:rsidR="00DD2DD5" w:rsidRPr="004403AC" w:rsidRDefault="00DD2DD5" w:rsidP="00174680">
            <w:pPr>
              <w:rPr>
                <w:sz w:val="20"/>
              </w:rPr>
            </w:pPr>
          </w:p>
        </w:tc>
        <w:tc>
          <w:tcPr>
            <w:tcW w:w="2498" w:type="dxa"/>
            <w:vAlign w:val="center"/>
          </w:tcPr>
          <w:p w:rsidR="00DD2DD5" w:rsidRPr="003121DB" w:rsidRDefault="003121DB" w:rsidP="003121DB">
            <w:pPr>
              <w:ind w:left="162"/>
              <w:jc w:val="center"/>
              <w:rPr>
                <w:sz w:val="20"/>
              </w:rPr>
            </w:pPr>
            <w:r>
              <w:rPr>
                <w:sz w:val="20"/>
              </w:rPr>
              <w:t>Konuyla ilgili bir değişiklik önerilmemekle birlikte yöntemle (</w:t>
            </w:r>
            <w:r w:rsidR="001705EB">
              <w:rPr>
                <w:sz w:val="20"/>
              </w:rPr>
              <w:t xml:space="preserve">örn., </w:t>
            </w:r>
            <w:r>
              <w:rPr>
                <w:sz w:val="20"/>
              </w:rPr>
              <w:t>film gösterimi, online eğitim programı) ilgili değişiklik düşünüldü. Konuyla ilgili uzmanların fikirleri alındıktan sonra değişikliğe karar verilecektir.</w:t>
            </w:r>
            <w:r w:rsidR="00973D1E">
              <w:rPr>
                <w:sz w:val="20"/>
              </w:rPr>
              <w:t xml:space="preserve"> </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13</w:t>
            </w:r>
          </w:p>
        </w:tc>
        <w:tc>
          <w:tcPr>
            <w:tcW w:w="4770" w:type="dxa"/>
            <w:vAlign w:val="center"/>
          </w:tcPr>
          <w:p w:rsidR="00DD2DD5" w:rsidRPr="004403AC" w:rsidRDefault="00DD2DD5" w:rsidP="00174680">
            <w:pPr>
              <w:ind w:left="360"/>
              <w:contextualSpacing/>
              <w:rPr>
                <w:b/>
                <w:sz w:val="20"/>
              </w:rPr>
            </w:pPr>
            <w:r w:rsidRPr="004403AC">
              <w:rPr>
                <w:b/>
                <w:sz w:val="20"/>
              </w:rPr>
              <w:t xml:space="preserve">“AKADEMİK KONULAR” </w:t>
            </w:r>
          </w:p>
          <w:p w:rsidR="00DD2DD5" w:rsidRPr="004403AC" w:rsidRDefault="00DD2DD5" w:rsidP="00174680">
            <w:pPr>
              <w:ind w:left="360"/>
              <w:contextualSpacing/>
              <w:rPr>
                <w:sz w:val="20"/>
              </w:rPr>
            </w:pPr>
            <w:r w:rsidRPr="004403AC">
              <w:rPr>
                <w:sz w:val="20"/>
              </w:rPr>
              <w:t>Bu etkinlik iki bölümden oluş</w:t>
            </w:r>
            <w:r>
              <w:rPr>
                <w:sz w:val="20"/>
              </w:rPr>
              <w:t>maktadır</w:t>
            </w:r>
            <w:r w:rsidRPr="004403AC">
              <w:rPr>
                <w:sz w:val="20"/>
              </w:rPr>
              <w:t>.</w:t>
            </w:r>
            <w:r>
              <w:rPr>
                <w:sz w:val="20"/>
              </w:rPr>
              <w:t xml:space="preserve"> Akdemik konularla ilgili kısa bir bilgilendirmeden sonra </w:t>
            </w:r>
            <w:r w:rsidRPr="004403AC">
              <w:rPr>
                <w:sz w:val="20"/>
              </w:rPr>
              <w:t xml:space="preserve"> </w:t>
            </w:r>
            <w:r>
              <w:rPr>
                <w:sz w:val="20"/>
              </w:rPr>
              <w:t xml:space="preserve">öğrencilere </w:t>
            </w:r>
            <w:r w:rsidRPr="004403AC">
              <w:rPr>
                <w:sz w:val="20"/>
              </w:rPr>
              <w:t xml:space="preserve">akran rehberleri eşliğinde küçük gruplarında </w:t>
            </w:r>
            <w:r>
              <w:rPr>
                <w:sz w:val="20"/>
              </w:rPr>
              <w:t xml:space="preserve">vaka örnekleri (GPA ve CGPA’in hesaplanması, burslar ve yandal programları, bağlayan derslere göre ders programının oluşturulması, notlandırma sistemi, ders tekrarı ve dersten geri çekilme) üzerinde çalışıp </w:t>
            </w:r>
            <w:r w:rsidRPr="004403AC">
              <w:rPr>
                <w:sz w:val="20"/>
              </w:rPr>
              <w:t>tartış</w:t>
            </w:r>
            <w:r>
              <w:rPr>
                <w:sz w:val="20"/>
              </w:rPr>
              <w:t>ma yürütüceklerdir.</w:t>
            </w:r>
            <w:r w:rsidRPr="004403AC">
              <w:rPr>
                <w:sz w:val="20"/>
              </w:rPr>
              <w:t xml:space="preserve">  </w:t>
            </w:r>
          </w:p>
          <w:p w:rsidR="00DD2DD5" w:rsidRPr="004403AC" w:rsidRDefault="00DD2DD5" w:rsidP="00174680">
            <w:pPr>
              <w:pStyle w:val="ListParagraph"/>
              <w:rPr>
                <w:rFonts w:ascii="Times New Roman" w:hAnsi="Times New Roman"/>
                <w:sz w:val="20"/>
                <w:lang w:val="tr-TR"/>
              </w:rPr>
            </w:pPr>
          </w:p>
        </w:tc>
        <w:tc>
          <w:tcPr>
            <w:tcW w:w="2498" w:type="dxa"/>
            <w:vAlign w:val="center"/>
          </w:tcPr>
          <w:p w:rsidR="00DD2DD5" w:rsidRPr="004403AC" w:rsidRDefault="003121DB" w:rsidP="00174680">
            <w:pPr>
              <w:ind w:left="162"/>
              <w:contextualSpacing/>
              <w:jc w:val="center"/>
              <w:rPr>
                <w:b/>
                <w:sz w:val="20"/>
              </w:rPr>
            </w:pPr>
            <w:r>
              <w:rPr>
                <w:sz w:val="20"/>
              </w:rPr>
              <w:t>Değişiklik yapılmadı.</w:t>
            </w:r>
            <w:r w:rsidR="00973D1E">
              <w:rPr>
                <w:sz w:val="20"/>
              </w:rPr>
              <w:t xml:space="preserve"> Etkinliğin haftasının değiştirilmesi planlandı.</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14</w:t>
            </w:r>
          </w:p>
        </w:tc>
        <w:tc>
          <w:tcPr>
            <w:tcW w:w="4770" w:type="dxa"/>
            <w:vAlign w:val="center"/>
          </w:tcPr>
          <w:p w:rsidR="00DD2DD5" w:rsidRPr="004403AC" w:rsidRDefault="00DD2DD5" w:rsidP="00174680">
            <w:pPr>
              <w:ind w:left="360"/>
              <w:rPr>
                <w:b/>
                <w:sz w:val="20"/>
              </w:rPr>
            </w:pPr>
            <w:r w:rsidRPr="004403AC">
              <w:rPr>
                <w:b/>
                <w:sz w:val="20"/>
              </w:rPr>
              <w:t>“BİLGİYLE BULUŞMA YERİNİZ” II</w:t>
            </w:r>
          </w:p>
          <w:p w:rsidR="00DD2DD5" w:rsidRPr="004403AC" w:rsidRDefault="00DD2DD5" w:rsidP="00CC1CFC">
            <w:pPr>
              <w:ind w:left="360"/>
              <w:rPr>
                <w:bCs/>
                <w:sz w:val="20"/>
              </w:rPr>
            </w:pPr>
            <w:r>
              <w:rPr>
                <w:bCs/>
                <w:sz w:val="20"/>
              </w:rPr>
              <w:t>Bu hafta içerisinde</w:t>
            </w:r>
            <w:r w:rsidRPr="004403AC">
              <w:rPr>
                <w:bCs/>
                <w:sz w:val="20"/>
              </w:rPr>
              <w:t xml:space="preserve">, bilgi </w:t>
            </w:r>
            <w:r>
              <w:rPr>
                <w:bCs/>
                <w:sz w:val="20"/>
              </w:rPr>
              <w:t xml:space="preserve">okuryazarlığına yönelik hazırlanan online eğitim programını tamamlayacaklardır. </w:t>
            </w:r>
          </w:p>
        </w:tc>
        <w:tc>
          <w:tcPr>
            <w:tcW w:w="2498" w:type="dxa"/>
            <w:vAlign w:val="center"/>
          </w:tcPr>
          <w:p w:rsidR="00DD2DD5" w:rsidRPr="00996CBE" w:rsidRDefault="00996CBE" w:rsidP="00174680">
            <w:pPr>
              <w:ind w:left="162"/>
              <w:jc w:val="center"/>
              <w:rPr>
                <w:sz w:val="20"/>
              </w:rPr>
            </w:pPr>
            <w:r>
              <w:rPr>
                <w:sz w:val="20"/>
              </w:rPr>
              <w:t>Değişiklik yapılmadı. Etkinliğin haftasının değiştirilmesi planlandı.</w:t>
            </w:r>
          </w:p>
        </w:tc>
      </w:tr>
      <w:tr w:rsidR="00DD2DD5" w:rsidRPr="000E2045" w:rsidTr="00D728AA">
        <w:trPr>
          <w:jc w:val="center"/>
        </w:trPr>
        <w:tc>
          <w:tcPr>
            <w:tcW w:w="1098" w:type="dxa"/>
            <w:vAlign w:val="center"/>
          </w:tcPr>
          <w:p w:rsidR="00DD2DD5" w:rsidRPr="004403AC" w:rsidRDefault="00DD2DD5" w:rsidP="00174680">
            <w:pPr>
              <w:jc w:val="center"/>
              <w:rPr>
                <w:b/>
              </w:rPr>
            </w:pPr>
            <w:r w:rsidRPr="004403AC">
              <w:rPr>
                <w:b/>
              </w:rPr>
              <w:t>Final Haftası</w:t>
            </w:r>
          </w:p>
        </w:tc>
        <w:tc>
          <w:tcPr>
            <w:tcW w:w="4770" w:type="dxa"/>
            <w:vAlign w:val="center"/>
          </w:tcPr>
          <w:p w:rsidR="00DD2DD5" w:rsidRPr="004403AC" w:rsidRDefault="00DD2DD5" w:rsidP="00174680">
            <w:pPr>
              <w:ind w:left="360"/>
              <w:contextualSpacing/>
              <w:rPr>
                <w:b/>
                <w:sz w:val="20"/>
              </w:rPr>
            </w:pPr>
            <w:r w:rsidRPr="004403AC">
              <w:rPr>
                <w:b/>
                <w:sz w:val="20"/>
              </w:rPr>
              <w:t>KAPANIŞ VE DEĞERLENDİRME</w:t>
            </w:r>
          </w:p>
          <w:p w:rsidR="00DD2DD5" w:rsidRPr="004403AC" w:rsidRDefault="00DD2DD5" w:rsidP="00174680">
            <w:pPr>
              <w:ind w:left="360"/>
              <w:contextualSpacing/>
              <w:rPr>
                <w:b/>
                <w:sz w:val="20"/>
              </w:rPr>
            </w:pPr>
            <w:r w:rsidRPr="004403AC">
              <w:rPr>
                <w:sz w:val="20"/>
              </w:rPr>
              <w:t>Kapanış haftasında öğrencilerin kampustaki ilk dönem deneyimlerinin ve dersin genel değerlendirilmesi yapılacaktır.</w:t>
            </w:r>
            <w:r w:rsidRPr="004403AC">
              <w:rPr>
                <w:b/>
                <w:sz w:val="20"/>
              </w:rPr>
              <w:t xml:space="preserve"> </w:t>
            </w:r>
          </w:p>
          <w:p w:rsidR="00DD2DD5" w:rsidRPr="004403AC" w:rsidRDefault="00DD2DD5" w:rsidP="00174680">
            <w:pPr>
              <w:pStyle w:val="ListParagraph"/>
              <w:rPr>
                <w:rFonts w:ascii="Times New Roman" w:hAnsi="Times New Roman"/>
                <w:sz w:val="20"/>
                <w:lang w:val="tr-TR"/>
              </w:rPr>
            </w:pPr>
          </w:p>
        </w:tc>
        <w:tc>
          <w:tcPr>
            <w:tcW w:w="2498" w:type="dxa"/>
            <w:vAlign w:val="center"/>
          </w:tcPr>
          <w:p w:rsidR="00DD2DD5" w:rsidRPr="004403AC" w:rsidRDefault="00115CF5" w:rsidP="00174680">
            <w:pPr>
              <w:ind w:left="162"/>
              <w:contextualSpacing/>
              <w:jc w:val="center"/>
              <w:rPr>
                <w:b/>
                <w:sz w:val="20"/>
              </w:rPr>
            </w:pPr>
            <w:r>
              <w:rPr>
                <w:sz w:val="20"/>
              </w:rPr>
              <w:t>Değişiklik yapılmadı. Değerlendirmenin bir hafta önceye çekilmesi planlandı.</w:t>
            </w:r>
          </w:p>
        </w:tc>
      </w:tr>
    </w:tbl>
    <w:p w:rsidR="005934B7" w:rsidRDefault="005934B7" w:rsidP="00825040"/>
    <w:p w:rsidR="005934B7" w:rsidRDefault="003121DB" w:rsidP="003121DB">
      <w:pPr>
        <w:ind w:firstLine="993"/>
      </w:pPr>
      <w:r>
        <w:rPr>
          <w:b/>
          <w:sz w:val="20"/>
        </w:rPr>
        <w:t>*</w:t>
      </w:r>
      <w:r w:rsidR="00F12905">
        <w:rPr>
          <w:b/>
          <w:sz w:val="20"/>
        </w:rPr>
        <w:t>Önerilen y</w:t>
      </w:r>
      <w:r>
        <w:rPr>
          <w:b/>
          <w:sz w:val="20"/>
        </w:rPr>
        <w:t>eni etkinlikle ilgili detaylı bilgi Ek III’te görülebilir.</w:t>
      </w:r>
    </w:p>
    <w:sectPr w:rsidR="005934B7" w:rsidSect="00892F9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60" w:rsidRDefault="00C74760" w:rsidP="00EA7F66">
      <w:r>
        <w:separator/>
      </w:r>
    </w:p>
  </w:endnote>
  <w:endnote w:type="continuationSeparator" w:id="0">
    <w:p w:rsidR="00C74760" w:rsidRDefault="00C74760" w:rsidP="00EA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60" w:rsidRDefault="00C74760" w:rsidP="00EA7F66">
      <w:r>
        <w:separator/>
      </w:r>
    </w:p>
  </w:footnote>
  <w:footnote w:type="continuationSeparator" w:id="0">
    <w:p w:rsidR="00C74760" w:rsidRDefault="00C74760" w:rsidP="00EA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66" w:rsidRDefault="00EA7F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60AC2"/>
    <w:multiLevelType w:val="hybridMultilevel"/>
    <w:tmpl w:val="CFDCB532"/>
    <w:lvl w:ilvl="0" w:tplc="3F34075C">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CD"/>
    <w:rsid w:val="00000292"/>
    <w:rsid w:val="00004B8E"/>
    <w:rsid w:val="000113A2"/>
    <w:rsid w:val="00011CEA"/>
    <w:rsid w:val="00014AE1"/>
    <w:rsid w:val="00014BA8"/>
    <w:rsid w:val="00014BAE"/>
    <w:rsid w:val="0001591F"/>
    <w:rsid w:val="00016B3C"/>
    <w:rsid w:val="00033714"/>
    <w:rsid w:val="00037A3D"/>
    <w:rsid w:val="00046D4C"/>
    <w:rsid w:val="00050EAC"/>
    <w:rsid w:val="00052EEA"/>
    <w:rsid w:val="00054EEE"/>
    <w:rsid w:val="00063546"/>
    <w:rsid w:val="00073317"/>
    <w:rsid w:val="00073EB6"/>
    <w:rsid w:val="0007675C"/>
    <w:rsid w:val="00082E46"/>
    <w:rsid w:val="000901B1"/>
    <w:rsid w:val="00094A07"/>
    <w:rsid w:val="00095585"/>
    <w:rsid w:val="00097D5E"/>
    <w:rsid w:val="000A1EC4"/>
    <w:rsid w:val="000A385A"/>
    <w:rsid w:val="000A5AEA"/>
    <w:rsid w:val="000A655E"/>
    <w:rsid w:val="000B132F"/>
    <w:rsid w:val="000B3E94"/>
    <w:rsid w:val="000C5D26"/>
    <w:rsid w:val="000C6AE1"/>
    <w:rsid w:val="000C6BE5"/>
    <w:rsid w:val="000C73B9"/>
    <w:rsid w:val="000D0818"/>
    <w:rsid w:val="000D452A"/>
    <w:rsid w:val="000D6613"/>
    <w:rsid w:val="000D6FF1"/>
    <w:rsid w:val="000D74B0"/>
    <w:rsid w:val="000E0ED6"/>
    <w:rsid w:val="000E1D29"/>
    <w:rsid w:val="000E2045"/>
    <w:rsid w:val="000E420C"/>
    <w:rsid w:val="000F5C1F"/>
    <w:rsid w:val="000F678D"/>
    <w:rsid w:val="00100838"/>
    <w:rsid w:val="001019C9"/>
    <w:rsid w:val="00106976"/>
    <w:rsid w:val="00107C50"/>
    <w:rsid w:val="00107ED8"/>
    <w:rsid w:val="00111C40"/>
    <w:rsid w:val="0011235A"/>
    <w:rsid w:val="00114275"/>
    <w:rsid w:val="00115CF5"/>
    <w:rsid w:val="00117C1D"/>
    <w:rsid w:val="00125237"/>
    <w:rsid w:val="0012563C"/>
    <w:rsid w:val="00125DB4"/>
    <w:rsid w:val="001301ED"/>
    <w:rsid w:val="00130343"/>
    <w:rsid w:val="0013388C"/>
    <w:rsid w:val="00135538"/>
    <w:rsid w:val="0013707B"/>
    <w:rsid w:val="001401FF"/>
    <w:rsid w:val="00142038"/>
    <w:rsid w:val="001439AB"/>
    <w:rsid w:val="001449A5"/>
    <w:rsid w:val="00150107"/>
    <w:rsid w:val="00154BFF"/>
    <w:rsid w:val="00157685"/>
    <w:rsid w:val="00166761"/>
    <w:rsid w:val="001705EB"/>
    <w:rsid w:val="00172F6C"/>
    <w:rsid w:val="00173A4A"/>
    <w:rsid w:val="00174680"/>
    <w:rsid w:val="001852F0"/>
    <w:rsid w:val="00194F41"/>
    <w:rsid w:val="001A2222"/>
    <w:rsid w:val="001A2FB6"/>
    <w:rsid w:val="001A2FF9"/>
    <w:rsid w:val="001B1D2D"/>
    <w:rsid w:val="001D5E87"/>
    <w:rsid w:val="001E041E"/>
    <w:rsid w:val="001E06AA"/>
    <w:rsid w:val="001E5CAD"/>
    <w:rsid w:val="001F20C5"/>
    <w:rsid w:val="001F2174"/>
    <w:rsid w:val="001F6734"/>
    <w:rsid w:val="002045DA"/>
    <w:rsid w:val="0020752D"/>
    <w:rsid w:val="0021579F"/>
    <w:rsid w:val="00216EB4"/>
    <w:rsid w:val="00222BC2"/>
    <w:rsid w:val="00222D94"/>
    <w:rsid w:val="0022348B"/>
    <w:rsid w:val="00225B99"/>
    <w:rsid w:val="00231340"/>
    <w:rsid w:val="002349B6"/>
    <w:rsid w:val="002361ED"/>
    <w:rsid w:val="00240F48"/>
    <w:rsid w:val="00247DFC"/>
    <w:rsid w:val="00253BB9"/>
    <w:rsid w:val="00255398"/>
    <w:rsid w:val="002570E0"/>
    <w:rsid w:val="002575B8"/>
    <w:rsid w:val="00261024"/>
    <w:rsid w:val="00261489"/>
    <w:rsid w:val="00262F2C"/>
    <w:rsid w:val="002669B5"/>
    <w:rsid w:val="00267FDE"/>
    <w:rsid w:val="00270E78"/>
    <w:rsid w:val="00272846"/>
    <w:rsid w:val="00281FA2"/>
    <w:rsid w:val="002956CD"/>
    <w:rsid w:val="002A12E4"/>
    <w:rsid w:val="002A4A97"/>
    <w:rsid w:val="002A77F9"/>
    <w:rsid w:val="002A7C97"/>
    <w:rsid w:val="002B3AF8"/>
    <w:rsid w:val="002B6933"/>
    <w:rsid w:val="002C3770"/>
    <w:rsid w:val="002C5CA0"/>
    <w:rsid w:val="002D5262"/>
    <w:rsid w:val="002E465D"/>
    <w:rsid w:val="002E5107"/>
    <w:rsid w:val="002E63E9"/>
    <w:rsid w:val="002F3480"/>
    <w:rsid w:val="00303E64"/>
    <w:rsid w:val="00310744"/>
    <w:rsid w:val="003121DB"/>
    <w:rsid w:val="00315867"/>
    <w:rsid w:val="00324C84"/>
    <w:rsid w:val="00326A98"/>
    <w:rsid w:val="00326F72"/>
    <w:rsid w:val="00333050"/>
    <w:rsid w:val="00343BCD"/>
    <w:rsid w:val="00347455"/>
    <w:rsid w:val="00357AFC"/>
    <w:rsid w:val="003609C6"/>
    <w:rsid w:val="00373B18"/>
    <w:rsid w:val="00387A39"/>
    <w:rsid w:val="00387E14"/>
    <w:rsid w:val="003905F2"/>
    <w:rsid w:val="003A3971"/>
    <w:rsid w:val="003A7000"/>
    <w:rsid w:val="003B2CE7"/>
    <w:rsid w:val="003B3731"/>
    <w:rsid w:val="003B7EB2"/>
    <w:rsid w:val="003C593D"/>
    <w:rsid w:val="003E64A0"/>
    <w:rsid w:val="003F048C"/>
    <w:rsid w:val="003F0CEA"/>
    <w:rsid w:val="003F191A"/>
    <w:rsid w:val="003F287B"/>
    <w:rsid w:val="003F556E"/>
    <w:rsid w:val="003F735F"/>
    <w:rsid w:val="003F77B5"/>
    <w:rsid w:val="004104C1"/>
    <w:rsid w:val="00410B92"/>
    <w:rsid w:val="00415C73"/>
    <w:rsid w:val="00422073"/>
    <w:rsid w:val="004247D1"/>
    <w:rsid w:val="00425D8A"/>
    <w:rsid w:val="004403AC"/>
    <w:rsid w:val="004439A2"/>
    <w:rsid w:val="00444007"/>
    <w:rsid w:val="00445F70"/>
    <w:rsid w:val="00446E1F"/>
    <w:rsid w:val="00452422"/>
    <w:rsid w:val="00456660"/>
    <w:rsid w:val="004641F6"/>
    <w:rsid w:val="00466B6A"/>
    <w:rsid w:val="00467AAA"/>
    <w:rsid w:val="00470CCD"/>
    <w:rsid w:val="00473B64"/>
    <w:rsid w:val="00474036"/>
    <w:rsid w:val="0047460A"/>
    <w:rsid w:val="004778EC"/>
    <w:rsid w:val="0048177C"/>
    <w:rsid w:val="004823D4"/>
    <w:rsid w:val="00490A3E"/>
    <w:rsid w:val="00491499"/>
    <w:rsid w:val="00492E9B"/>
    <w:rsid w:val="00496E3A"/>
    <w:rsid w:val="004A0FA4"/>
    <w:rsid w:val="004A5666"/>
    <w:rsid w:val="004A58D8"/>
    <w:rsid w:val="004C18EA"/>
    <w:rsid w:val="004C65DE"/>
    <w:rsid w:val="004D1529"/>
    <w:rsid w:val="004D73F6"/>
    <w:rsid w:val="004E1D06"/>
    <w:rsid w:val="004E3CF4"/>
    <w:rsid w:val="004F4CD1"/>
    <w:rsid w:val="004F5158"/>
    <w:rsid w:val="00505156"/>
    <w:rsid w:val="005074D6"/>
    <w:rsid w:val="005076A1"/>
    <w:rsid w:val="00516925"/>
    <w:rsid w:val="005174E3"/>
    <w:rsid w:val="005201FF"/>
    <w:rsid w:val="00521A7E"/>
    <w:rsid w:val="00522ED0"/>
    <w:rsid w:val="00532C09"/>
    <w:rsid w:val="0053335D"/>
    <w:rsid w:val="00536202"/>
    <w:rsid w:val="005375CC"/>
    <w:rsid w:val="00537798"/>
    <w:rsid w:val="00541309"/>
    <w:rsid w:val="00542BE5"/>
    <w:rsid w:val="005455C9"/>
    <w:rsid w:val="00551680"/>
    <w:rsid w:val="00551E61"/>
    <w:rsid w:val="00557566"/>
    <w:rsid w:val="00557CF0"/>
    <w:rsid w:val="005607E5"/>
    <w:rsid w:val="00564F18"/>
    <w:rsid w:val="005752EE"/>
    <w:rsid w:val="005766D8"/>
    <w:rsid w:val="005772BF"/>
    <w:rsid w:val="00582CD0"/>
    <w:rsid w:val="00583231"/>
    <w:rsid w:val="00591AD8"/>
    <w:rsid w:val="005934B7"/>
    <w:rsid w:val="00595740"/>
    <w:rsid w:val="005A0147"/>
    <w:rsid w:val="005A45B1"/>
    <w:rsid w:val="005A6423"/>
    <w:rsid w:val="005B52D2"/>
    <w:rsid w:val="005B594A"/>
    <w:rsid w:val="005D102D"/>
    <w:rsid w:val="005D181C"/>
    <w:rsid w:val="005D2951"/>
    <w:rsid w:val="005D72E4"/>
    <w:rsid w:val="005E2FDC"/>
    <w:rsid w:val="005E4099"/>
    <w:rsid w:val="005E6641"/>
    <w:rsid w:val="005F7AFD"/>
    <w:rsid w:val="006014BD"/>
    <w:rsid w:val="0061118D"/>
    <w:rsid w:val="006111A6"/>
    <w:rsid w:val="0061564F"/>
    <w:rsid w:val="006161DC"/>
    <w:rsid w:val="00616740"/>
    <w:rsid w:val="006173EB"/>
    <w:rsid w:val="00617795"/>
    <w:rsid w:val="00620ACE"/>
    <w:rsid w:val="0062689F"/>
    <w:rsid w:val="00630219"/>
    <w:rsid w:val="00633021"/>
    <w:rsid w:val="0064104A"/>
    <w:rsid w:val="00641D38"/>
    <w:rsid w:val="0064338B"/>
    <w:rsid w:val="006462BA"/>
    <w:rsid w:val="00647F7D"/>
    <w:rsid w:val="006565B7"/>
    <w:rsid w:val="00660941"/>
    <w:rsid w:val="00660C86"/>
    <w:rsid w:val="0066488D"/>
    <w:rsid w:val="00664B0B"/>
    <w:rsid w:val="00665021"/>
    <w:rsid w:val="00666BF2"/>
    <w:rsid w:val="00673B5D"/>
    <w:rsid w:val="00673E48"/>
    <w:rsid w:val="006806EE"/>
    <w:rsid w:val="00683B83"/>
    <w:rsid w:val="0068604E"/>
    <w:rsid w:val="00690938"/>
    <w:rsid w:val="006911C6"/>
    <w:rsid w:val="006A232B"/>
    <w:rsid w:val="006B1A3C"/>
    <w:rsid w:val="006B3FCE"/>
    <w:rsid w:val="006B6905"/>
    <w:rsid w:val="006C3C8A"/>
    <w:rsid w:val="006C4E02"/>
    <w:rsid w:val="006C7AFF"/>
    <w:rsid w:val="006D521E"/>
    <w:rsid w:val="006D6819"/>
    <w:rsid w:val="006E0458"/>
    <w:rsid w:val="006F0D3E"/>
    <w:rsid w:val="006F1548"/>
    <w:rsid w:val="006F36D8"/>
    <w:rsid w:val="00702E02"/>
    <w:rsid w:val="00703ADE"/>
    <w:rsid w:val="007052A0"/>
    <w:rsid w:val="007073D6"/>
    <w:rsid w:val="00712210"/>
    <w:rsid w:val="007220AC"/>
    <w:rsid w:val="0072354D"/>
    <w:rsid w:val="00735762"/>
    <w:rsid w:val="00735D68"/>
    <w:rsid w:val="0074228C"/>
    <w:rsid w:val="00745637"/>
    <w:rsid w:val="00746A7E"/>
    <w:rsid w:val="0074708E"/>
    <w:rsid w:val="00747D93"/>
    <w:rsid w:val="00753470"/>
    <w:rsid w:val="00756C3F"/>
    <w:rsid w:val="00757410"/>
    <w:rsid w:val="00770444"/>
    <w:rsid w:val="007708BE"/>
    <w:rsid w:val="00775AA4"/>
    <w:rsid w:val="00776316"/>
    <w:rsid w:val="0077691A"/>
    <w:rsid w:val="0078425B"/>
    <w:rsid w:val="00787AA6"/>
    <w:rsid w:val="00793CA1"/>
    <w:rsid w:val="007A13DE"/>
    <w:rsid w:val="007A5D04"/>
    <w:rsid w:val="007A78E2"/>
    <w:rsid w:val="007B0E03"/>
    <w:rsid w:val="007B213E"/>
    <w:rsid w:val="007B215F"/>
    <w:rsid w:val="007B249B"/>
    <w:rsid w:val="007B4FE1"/>
    <w:rsid w:val="007C1077"/>
    <w:rsid w:val="007C42E7"/>
    <w:rsid w:val="007C4458"/>
    <w:rsid w:val="007D6360"/>
    <w:rsid w:val="007D6C74"/>
    <w:rsid w:val="007D71FC"/>
    <w:rsid w:val="007D74A9"/>
    <w:rsid w:val="007E04E7"/>
    <w:rsid w:val="007E26E9"/>
    <w:rsid w:val="007F131B"/>
    <w:rsid w:val="007F548A"/>
    <w:rsid w:val="00813502"/>
    <w:rsid w:val="008141A8"/>
    <w:rsid w:val="00814FB3"/>
    <w:rsid w:val="00815A23"/>
    <w:rsid w:val="00815B5A"/>
    <w:rsid w:val="00825040"/>
    <w:rsid w:val="00826A2B"/>
    <w:rsid w:val="00837D42"/>
    <w:rsid w:val="00840E76"/>
    <w:rsid w:val="00844D1A"/>
    <w:rsid w:val="00846BB1"/>
    <w:rsid w:val="0085245B"/>
    <w:rsid w:val="008533CC"/>
    <w:rsid w:val="00853F4B"/>
    <w:rsid w:val="00860803"/>
    <w:rsid w:val="00864F1B"/>
    <w:rsid w:val="008721F2"/>
    <w:rsid w:val="00873880"/>
    <w:rsid w:val="008742D5"/>
    <w:rsid w:val="008916B1"/>
    <w:rsid w:val="00892F9E"/>
    <w:rsid w:val="00894462"/>
    <w:rsid w:val="00896DF1"/>
    <w:rsid w:val="008A0C22"/>
    <w:rsid w:val="008B21CA"/>
    <w:rsid w:val="008B42AE"/>
    <w:rsid w:val="008B61F1"/>
    <w:rsid w:val="008B67C5"/>
    <w:rsid w:val="008C2D7A"/>
    <w:rsid w:val="008C3846"/>
    <w:rsid w:val="008C6C07"/>
    <w:rsid w:val="008D1B5F"/>
    <w:rsid w:val="008D2CC1"/>
    <w:rsid w:val="008D51F7"/>
    <w:rsid w:val="008E511B"/>
    <w:rsid w:val="008F00F5"/>
    <w:rsid w:val="008F0F64"/>
    <w:rsid w:val="008F141F"/>
    <w:rsid w:val="008F7650"/>
    <w:rsid w:val="008F79A9"/>
    <w:rsid w:val="00904F8D"/>
    <w:rsid w:val="009102F5"/>
    <w:rsid w:val="009121B3"/>
    <w:rsid w:val="00916A90"/>
    <w:rsid w:val="00920C9D"/>
    <w:rsid w:val="00923017"/>
    <w:rsid w:val="00933148"/>
    <w:rsid w:val="009373BC"/>
    <w:rsid w:val="00946599"/>
    <w:rsid w:val="00953817"/>
    <w:rsid w:val="00953917"/>
    <w:rsid w:val="009640D3"/>
    <w:rsid w:val="00966EB1"/>
    <w:rsid w:val="00967C28"/>
    <w:rsid w:val="00970C15"/>
    <w:rsid w:val="00973D1E"/>
    <w:rsid w:val="00975840"/>
    <w:rsid w:val="00977BF6"/>
    <w:rsid w:val="0098150B"/>
    <w:rsid w:val="009832CF"/>
    <w:rsid w:val="009851D6"/>
    <w:rsid w:val="00996004"/>
    <w:rsid w:val="00996CBE"/>
    <w:rsid w:val="00996E87"/>
    <w:rsid w:val="009A129B"/>
    <w:rsid w:val="009A3623"/>
    <w:rsid w:val="009A508C"/>
    <w:rsid w:val="009C05EC"/>
    <w:rsid w:val="009C0B75"/>
    <w:rsid w:val="009C702A"/>
    <w:rsid w:val="009D0586"/>
    <w:rsid w:val="009D2D97"/>
    <w:rsid w:val="009D4178"/>
    <w:rsid w:val="009D47AD"/>
    <w:rsid w:val="009E1307"/>
    <w:rsid w:val="009E1F1D"/>
    <w:rsid w:val="009E5C87"/>
    <w:rsid w:val="009F0516"/>
    <w:rsid w:val="009F66AB"/>
    <w:rsid w:val="009F6B41"/>
    <w:rsid w:val="00A059A4"/>
    <w:rsid w:val="00A12D3E"/>
    <w:rsid w:val="00A134ED"/>
    <w:rsid w:val="00A13623"/>
    <w:rsid w:val="00A13A3F"/>
    <w:rsid w:val="00A161B8"/>
    <w:rsid w:val="00A30B8D"/>
    <w:rsid w:val="00A359E4"/>
    <w:rsid w:val="00A40C27"/>
    <w:rsid w:val="00A42822"/>
    <w:rsid w:val="00A52E8E"/>
    <w:rsid w:val="00A576CA"/>
    <w:rsid w:val="00A63367"/>
    <w:rsid w:val="00A707BB"/>
    <w:rsid w:val="00A7327F"/>
    <w:rsid w:val="00A761C5"/>
    <w:rsid w:val="00A76D01"/>
    <w:rsid w:val="00A85C24"/>
    <w:rsid w:val="00A9605F"/>
    <w:rsid w:val="00A96810"/>
    <w:rsid w:val="00AA11B5"/>
    <w:rsid w:val="00AA3CEB"/>
    <w:rsid w:val="00AA6684"/>
    <w:rsid w:val="00AA6934"/>
    <w:rsid w:val="00AA6A67"/>
    <w:rsid w:val="00AB0803"/>
    <w:rsid w:val="00AB3B24"/>
    <w:rsid w:val="00AC1AEB"/>
    <w:rsid w:val="00AD1A36"/>
    <w:rsid w:val="00AD46CB"/>
    <w:rsid w:val="00AD7877"/>
    <w:rsid w:val="00AE2819"/>
    <w:rsid w:val="00AE301E"/>
    <w:rsid w:val="00AE3282"/>
    <w:rsid w:val="00AE66C0"/>
    <w:rsid w:val="00AE737B"/>
    <w:rsid w:val="00AF2113"/>
    <w:rsid w:val="00AF62C6"/>
    <w:rsid w:val="00AF67E1"/>
    <w:rsid w:val="00AF7779"/>
    <w:rsid w:val="00B0193E"/>
    <w:rsid w:val="00B0650D"/>
    <w:rsid w:val="00B23A6A"/>
    <w:rsid w:val="00B2428D"/>
    <w:rsid w:val="00B26EC4"/>
    <w:rsid w:val="00B2766D"/>
    <w:rsid w:val="00B302A5"/>
    <w:rsid w:val="00B35372"/>
    <w:rsid w:val="00B41F28"/>
    <w:rsid w:val="00B43457"/>
    <w:rsid w:val="00B67F79"/>
    <w:rsid w:val="00B7233A"/>
    <w:rsid w:val="00B77870"/>
    <w:rsid w:val="00B82C9A"/>
    <w:rsid w:val="00B953CC"/>
    <w:rsid w:val="00B962BB"/>
    <w:rsid w:val="00B97B26"/>
    <w:rsid w:val="00BA6CDF"/>
    <w:rsid w:val="00BB268E"/>
    <w:rsid w:val="00BB32CB"/>
    <w:rsid w:val="00BB3DF4"/>
    <w:rsid w:val="00BB658E"/>
    <w:rsid w:val="00BC0521"/>
    <w:rsid w:val="00BC3D05"/>
    <w:rsid w:val="00BC438C"/>
    <w:rsid w:val="00BD0FA8"/>
    <w:rsid w:val="00BD7BB1"/>
    <w:rsid w:val="00BE4031"/>
    <w:rsid w:val="00BE6CE4"/>
    <w:rsid w:val="00BF09A1"/>
    <w:rsid w:val="00BF5D5D"/>
    <w:rsid w:val="00C02DA5"/>
    <w:rsid w:val="00C0361B"/>
    <w:rsid w:val="00C121FC"/>
    <w:rsid w:val="00C132CA"/>
    <w:rsid w:val="00C150CB"/>
    <w:rsid w:val="00C176C8"/>
    <w:rsid w:val="00C332FD"/>
    <w:rsid w:val="00C376AF"/>
    <w:rsid w:val="00C4060C"/>
    <w:rsid w:val="00C43C0D"/>
    <w:rsid w:val="00C45E68"/>
    <w:rsid w:val="00C63674"/>
    <w:rsid w:val="00C63A7D"/>
    <w:rsid w:val="00C718E6"/>
    <w:rsid w:val="00C72E0E"/>
    <w:rsid w:val="00C741E6"/>
    <w:rsid w:val="00C74760"/>
    <w:rsid w:val="00C83055"/>
    <w:rsid w:val="00C92A8E"/>
    <w:rsid w:val="00C94D9B"/>
    <w:rsid w:val="00C95DF7"/>
    <w:rsid w:val="00C96EC0"/>
    <w:rsid w:val="00CA2BD4"/>
    <w:rsid w:val="00CB10D7"/>
    <w:rsid w:val="00CC1CFC"/>
    <w:rsid w:val="00CD14C4"/>
    <w:rsid w:val="00CD4F3F"/>
    <w:rsid w:val="00CE516E"/>
    <w:rsid w:val="00CF03BC"/>
    <w:rsid w:val="00CF17F2"/>
    <w:rsid w:val="00CF2EF0"/>
    <w:rsid w:val="00CF5D50"/>
    <w:rsid w:val="00CF79E5"/>
    <w:rsid w:val="00D00908"/>
    <w:rsid w:val="00D018F8"/>
    <w:rsid w:val="00D01D5C"/>
    <w:rsid w:val="00D02E20"/>
    <w:rsid w:val="00D073D9"/>
    <w:rsid w:val="00D13D20"/>
    <w:rsid w:val="00D14B3A"/>
    <w:rsid w:val="00D14BBA"/>
    <w:rsid w:val="00D225D7"/>
    <w:rsid w:val="00D22BC6"/>
    <w:rsid w:val="00D32A70"/>
    <w:rsid w:val="00D43BF8"/>
    <w:rsid w:val="00D45146"/>
    <w:rsid w:val="00D45943"/>
    <w:rsid w:val="00D45D3E"/>
    <w:rsid w:val="00D505A2"/>
    <w:rsid w:val="00D51190"/>
    <w:rsid w:val="00D5380A"/>
    <w:rsid w:val="00D55F0F"/>
    <w:rsid w:val="00D56F08"/>
    <w:rsid w:val="00D60E4E"/>
    <w:rsid w:val="00D628AD"/>
    <w:rsid w:val="00D62CF0"/>
    <w:rsid w:val="00D632B8"/>
    <w:rsid w:val="00D63BDF"/>
    <w:rsid w:val="00D64E87"/>
    <w:rsid w:val="00D71128"/>
    <w:rsid w:val="00D728AA"/>
    <w:rsid w:val="00D72FE0"/>
    <w:rsid w:val="00D80A76"/>
    <w:rsid w:val="00D8489D"/>
    <w:rsid w:val="00D86E2D"/>
    <w:rsid w:val="00DA404E"/>
    <w:rsid w:val="00DA73AA"/>
    <w:rsid w:val="00DB08D6"/>
    <w:rsid w:val="00DB6586"/>
    <w:rsid w:val="00DB761C"/>
    <w:rsid w:val="00DB76A0"/>
    <w:rsid w:val="00DC36D7"/>
    <w:rsid w:val="00DD2DD5"/>
    <w:rsid w:val="00DD3D49"/>
    <w:rsid w:val="00DD76EA"/>
    <w:rsid w:val="00DE7823"/>
    <w:rsid w:val="00DF01F7"/>
    <w:rsid w:val="00DF39EC"/>
    <w:rsid w:val="00E02AD3"/>
    <w:rsid w:val="00E04C18"/>
    <w:rsid w:val="00E06928"/>
    <w:rsid w:val="00E14A74"/>
    <w:rsid w:val="00E14ACD"/>
    <w:rsid w:val="00E213BA"/>
    <w:rsid w:val="00E24E3C"/>
    <w:rsid w:val="00E27D8A"/>
    <w:rsid w:val="00E32F6F"/>
    <w:rsid w:val="00E37495"/>
    <w:rsid w:val="00E418D6"/>
    <w:rsid w:val="00E5652B"/>
    <w:rsid w:val="00E56AE4"/>
    <w:rsid w:val="00E64DB7"/>
    <w:rsid w:val="00E70CF7"/>
    <w:rsid w:val="00E72316"/>
    <w:rsid w:val="00E748AC"/>
    <w:rsid w:val="00E773AA"/>
    <w:rsid w:val="00E77BB4"/>
    <w:rsid w:val="00E80AC3"/>
    <w:rsid w:val="00E85447"/>
    <w:rsid w:val="00E85AC2"/>
    <w:rsid w:val="00EA7F66"/>
    <w:rsid w:val="00EB0070"/>
    <w:rsid w:val="00EB0D89"/>
    <w:rsid w:val="00EB3241"/>
    <w:rsid w:val="00EB5A9E"/>
    <w:rsid w:val="00EC18A6"/>
    <w:rsid w:val="00EC45F0"/>
    <w:rsid w:val="00EC51BE"/>
    <w:rsid w:val="00ED20DA"/>
    <w:rsid w:val="00ED28E3"/>
    <w:rsid w:val="00EE3F23"/>
    <w:rsid w:val="00EE7FC4"/>
    <w:rsid w:val="00EF3C16"/>
    <w:rsid w:val="00F039F8"/>
    <w:rsid w:val="00F07AF3"/>
    <w:rsid w:val="00F12905"/>
    <w:rsid w:val="00F1316B"/>
    <w:rsid w:val="00F20C7B"/>
    <w:rsid w:val="00F27EDA"/>
    <w:rsid w:val="00F33C95"/>
    <w:rsid w:val="00F36AEF"/>
    <w:rsid w:val="00F4237D"/>
    <w:rsid w:val="00F453BB"/>
    <w:rsid w:val="00F50E62"/>
    <w:rsid w:val="00F511F2"/>
    <w:rsid w:val="00F54137"/>
    <w:rsid w:val="00F60610"/>
    <w:rsid w:val="00F62FEF"/>
    <w:rsid w:val="00F675AF"/>
    <w:rsid w:val="00F74AB4"/>
    <w:rsid w:val="00F76486"/>
    <w:rsid w:val="00F8493E"/>
    <w:rsid w:val="00F867CC"/>
    <w:rsid w:val="00F932C8"/>
    <w:rsid w:val="00FB063C"/>
    <w:rsid w:val="00FB2088"/>
    <w:rsid w:val="00FB4810"/>
    <w:rsid w:val="00FC044B"/>
    <w:rsid w:val="00FC6B1A"/>
    <w:rsid w:val="00FD2412"/>
    <w:rsid w:val="00FD3D90"/>
    <w:rsid w:val="00FE033A"/>
    <w:rsid w:val="00FE0FBA"/>
    <w:rsid w:val="00FE1B17"/>
    <w:rsid w:val="00FE3FD1"/>
    <w:rsid w:val="00FE4CDE"/>
    <w:rsid w:val="00FE69BA"/>
    <w:rsid w:val="00FF536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758CB-55F8-40A9-A790-AA8F22A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CD"/>
    <w:rPr>
      <w:rFonts w:eastAsia="Times New Roman"/>
      <w:sz w:val="24"/>
      <w:lang w:val="tr-TR"/>
    </w:rPr>
  </w:style>
  <w:style w:type="paragraph" w:styleId="Heading1">
    <w:name w:val="heading 1"/>
    <w:basedOn w:val="Normal"/>
    <w:next w:val="Normal"/>
    <w:link w:val="Heading1Char"/>
    <w:qFormat/>
    <w:rsid w:val="00660C86"/>
    <w:pPr>
      <w:keepNext/>
      <w:jc w:val="center"/>
      <w:outlineLvl w:val="0"/>
    </w:pPr>
    <w:rPr>
      <w:rFonts w:eastAsia="SimSun"/>
      <w:b/>
      <w:bCs/>
    </w:rPr>
  </w:style>
  <w:style w:type="paragraph" w:styleId="Heading2">
    <w:name w:val="heading 2"/>
    <w:basedOn w:val="Normal"/>
    <w:next w:val="Normal"/>
    <w:link w:val="Heading2Char"/>
    <w:qFormat/>
    <w:rsid w:val="00660C86"/>
    <w:pPr>
      <w:keepNext/>
      <w:spacing w:before="240" w:after="60"/>
      <w:outlineLvl w:val="1"/>
    </w:pPr>
    <w:rPr>
      <w:rFonts w:ascii="Arial" w:eastAsia="SimSu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C86"/>
    <w:rPr>
      <w:b/>
      <w:bCs/>
      <w:sz w:val="24"/>
      <w:lang w:eastAsia="en-US"/>
    </w:rPr>
  </w:style>
  <w:style w:type="character" w:customStyle="1" w:styleId="Heading2Char">
    <w:name w:val="Heading 2 Char"/>
    <w:basedOn w:val="DefaultParagraphFont"/>
    <w:link w:val="Heading2"/>
    <w:rsid w:val="00660C86"/>
    <w:rPr>
      <w:rFonts w:ascii="Arial" w:hAnsi="Arial" w:cs="Arial"/>
      <w:b/>
      <w:bCs/>
      <w:i/>
      <w:iCs/>
      <w:sz w:val="28"/>
      <w:szCs w:val="28"/>
      <w:lang w:eastAsia="en-US"/>
    </w:rPr>
  </w:style>
  <w:style w:type="table" w:styleId="TableGrid">
    <w:name w:val="Table Grid"/>
    <w:basedOn w:val="TableNormal"/>
    <w:rsid w:val="00E14A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ACD"/>
    <w:pPr>
      <w:ind w:left="708"/>
    </w:pPr>
    <w:rPr>
      <w:rFonts w:ascii="Times" w:eastAsia="Times" w:hAnsi="Times"/>
      <w:lang w:val="en-GB"/>
    </w:rPr>
  </w:style>
  <w:style w:type="character" w:customStyle="1" w:styleId="apple-style-span">
    <w:name w:val="apple-style-span"/>
    <w:basedOn w:val="DefaultParagraphFont"/>
    <w:rsid w:val="00E14ACD"/>
  </w:style>
  <w:style w:type="paragraph" w:styleId="Header">
    <w:name w:val="header"/>
    <w:basedOn w:val="Normal"/>
    <w:link w:val="HeaderChar"/>
    <w:uiPriority w:val="99"/>
    <w:unhideWhenUsed/>
    <w:rsid w:val="00EA7F66"/>
    <w:pPr>
      <w:tabs>
        <w:tab w:val="center" w:pos="4536"/>
        <w:tab w:val="right" w:pos="9072"/>
      </w:tabs>
    </w:pPr>
  </w:style>
  <w:style w:type="character" w:customStyle="1" w:styleId="HeaderChar">
    <w:name w:val="Header Char"/>
    <w:basedOn w:val="DefaultParagraphFont"/>
    <w:link w:val="Header"/>
    <w:uiPriority w:val="99"/>
    <w:rsid w:val="00EA7F66"/>
    <w:rPr>
      <w:rFonts w:eastAsia="Times New Roman"/>
      <w:sz w:val="24"/>
      <w:lang w:eastAsia="en-US"/>
    </w:rPr>
  </w:style>
  <w:style w:type="paragraph" w:styleId="Footer">
    <w:name w:val="footer"/>
    <w:basedOn w:val="Normal"/>
    <w:link w:val="FooterChar"/>
    <w:uiPriority w:val="99"/>
    <w:semiHidden/>
    <w:unhideWhenUsed/>
    <w:rsid w:val="00EA7F66"/>
    <w:pPr>
      <w:tabs>
        <w:tab w:val="center" w:pos="4536"/>
        <w:tab w:val="right" w:pos="9072"/>
      </w:tabs>
    </w:pPr>
  </w:style>
  <w:style w:type="character" w:customStyle="1" w:styleId="FooterChar">
    <w:name w:val="Footer Char"/>
    <w:basedOn w:val="DefaultParagraphFont"/>
    <w:link w:val="Footer"/>
    <w:uiPriority w:val="99"/>
    <w:semiHidden/>
    <w:rsid w:val="00EA7F66"/>
    <w:rPr>
      <w:rFonts w:eastAsia="Times New Roman"/>
      <w:sz w:val="24"/>
      <w:lang w:eastAsia="en-US"/>
    </w:rPr>
  </w:style>
  <w:style w:type="paragraph" w:styleId="BalloonText">
    <w:name w:val="Balloon Text"/>
    <w:basedOn w:val="Normal"/>
    <w:link w:val="BalloonTextChar"/>
    <w:uiPriority w:val="99"/>
    <w:semiHidden/>
    <w:unhideWhenUsed/>
    <w:rsid w:val="00892F9E"/>
    <w:rPr>
      <w:rFonts w:ascii="Tahoma" w:hAnsi="Tahoma" w:cs="Tahoma"/>
      <w:sz w:val="16"/>
      <w:szCs w:val="16"/>
    </w:rPr>
  </w:style>
  <w:style w:type="character" w:customStyle="1" w:styleId="BalloonTextChar">
    <w:name w:val="Balloon Text Char"/>
    <w:basedOn w:val="DefaultParagraphFont"/>
    <w:link w:val="BalloonText"/>
    <w:uiPriority w:val="99"/>
    <w:semiHidden/>
    <w:rsid w:val="00892F9E"/>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MetuNCC</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nccuser</dc:creator>
  <cp:keywords/>
  <cp:lastModifiedBy>nazan</cp:lastModifiedBy>
  <cp:revision>2</cp:revision>
  <cp:lastPrinted>2011-12-21T07:48:00Z</cp:lastPrinted>
  <dcterms:created xsi:type="dcterms:W3CDTF">2015-02-10T09:28:00Z</dcterms:created>
  <dcterms:modified xsi:type="dcterms:W3CDTF">2015-02-10T09:28:00Z</dcterms:modified>
</cp:coreProperties>
</file>